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1"/>
      </w:tblGrid>
      <w:tr w:rsidR="000C0855" w:rsidRPr="000C0855" w14:paraId="3194DA36" w14:textId="77777777" w:rsidTr="000C085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381"/>
            </w:tblGrid>
            <w:tr w:rsidR="000C0855" w:rsidRPr="000C0855" w14:paraId="03A513B1" w14:textId="77777777" w:rsidTr="000C085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75"/>
                  </w:tblGrid>
                  <w:tr w:rsidR="000C0855" w:rsidRPr="000C0855" w14:paraId="29F535A5" w14:textId="77777777" w:rsidTr="000C085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D7483E7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center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因應主管機關函令，上市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(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櫃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)</w:t>
                        </w:r>
                        <w:proofErr w:type="gramStart"/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及興櫃公司</w:t>
                        </w:r>
                        <w:proofErr w:type="gramEnd"/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110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年原訂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5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月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24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日至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6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月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30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日股東會，延至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110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7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月至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8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月間召開，延期召開股東會日期彙總表，請至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110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年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7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月及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8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月「股東會及除權</w:t>
                        </w:r>
                        <w:proofErr w:type="gramStart"/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息</w:t>
                        </w:r>
                        <w:proofErr w:type="gramEnd"/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0000"/>
                            <w:kern w:val="0"/>
                            <w:sz w:val="16"/>
                            <w:szCs w:val="16"/>
                          </w:rPr>
                          <w:t>日曆」查詢。</w:t>
                        </w:r>
                      </w:p>
                    </w:tc>
                  </w:tr>
                </w:tbl>
                <w:p w14:paraId="3F17D72E" w14:textId="77777777" w:rsidR="000C0855" w:rsidRPr="000C0855" w:rsidRDefault="000C0855" w:rsidP="000C0855">
                  <w:pPr>
                    <w:widowControl/>
                    <w:jc w:val="center"/>
                    <w:rPr>
                      <w:rFonts w:ascii="Arial" w:eastAsia="新細明體" w:hAnsi="Arial" w:cs="Arial"/>
                      <w:vanish/>
                      <w:kern w:val="0"/>
                      <w:sz w:val="16"/>
                      <w:szCs w:val="16"/>
                    </w:rPr>
                  </w:pPr>
                </w:p>
                <w:tbl>
                  <w:tblPr>
                    <w:tblW w:w="495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91"/>
                    <w:gridCol w:w="671"/>
                    <w:gridCol w:w="836"/>
                    <w:gridCol w:w="191"/>
                    <w:gridCol w:w="831"/>
                    <w:gridCol w:w="787"/>
                    <w:gridCol w:w="1098"/>
                    <w:gridCol w:w="1098"/>
                    <w:gridCol w:w="1098"/>
                    <w:gridCol w:w="1098"/>
                    <w:gridCol w:w="920"/>
                    <w:gridCol w:w="831"/>
                    <w:gridCol w:w="831"/>
                    <w:gridCol w:w="965"/>
                    <w:gridCol w:w="671"/>
                    <w:gridCol w:w="831"/>
                    <w:gridCol w:w="831"/>
                    <w:gridCol w:w="778"/>
                    <w:gridCol w:w="3743"/>
                    <w:gridCol w:w="3567"/>
                    <w:gridCol w:w="1329"/>
                    <w:gridCol w:w="36"/>
                  </w:tblGrid>
                  <w:tr w:rsidR="000C0855" w:rsidRPr="000C0855" w14:paraId="6A6007A6" w14:textId="77777777" w:rsidTr="000C0855">
                    <w:trPr>
                      <w:gridAfter w:val="1"/>
                      <w:trHeight w:val="450"/>
                      <w:jc w:val="center"/>
                    </w:trPr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10A6CA31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決議（擬議）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進度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69A78267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股利所屬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年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(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季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)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度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5A42A9FE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股利所屬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期間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4A8069C9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期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別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3B672F2B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董事會決議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  <w:t>(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擬議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)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股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利分派日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008954B9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股東會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日期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2F83F75A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期初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未分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proofErr w:type="gramStart"/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配盈</w:t>
                        </w:r>
                        <w:proofErr w:type="gramEnd"/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餘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/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待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彌補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虧損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  <w:t>(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元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74B50FBC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本期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淨利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  <w:t>(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淨損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)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  <w:t>(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元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6129950C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可分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proofErr w:type="gramStart"/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配盈</w:t>
                        </w:r>
                        <w:proofErr w:type="gramEnd"/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餘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  <w:t>(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元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1347C541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分配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後期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proofErr w:type="gramStart"/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末未</w:t>
                        </w:r>
                        <w:proofErr w:type="gramEnd"/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分配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盈餘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  <w:t>(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元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gridSpan w:val="8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43670490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股東配發內容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6226D9C2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摘錄公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司章程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-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股利分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派部分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077CD254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備註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5A9D94BD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普通股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每股面額</w:t>
                        </w:r>
                      </w:p>
                    </w:tc>
                  </w:tr>
                  <w:tr w:rsidR="000C0855" w:rsidRPr="000C0855" w14:paraId="6AB81855" w14:textId="77777777" w:rsidTr="000C0855">
                    <w:trPr>
                      <w:gridAfter w:val="1"/>
                      <w:trHeight w:val="450"/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126837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A34B197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28DBCC2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28F27AE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8F229CF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D3ABDBE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18E102C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20F1C0F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8B44E81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834951D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344942BE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盈餘分配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之現金股利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  <w:t>(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元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/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股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79923841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法定盈餘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公積發放之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現金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(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元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/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股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79850F85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資本公積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發放之現金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  <w:t>(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元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/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股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00B14F8A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股東配發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之現金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(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股利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)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總金額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(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元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2D451C1A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盈餘轉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增資配股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  <w:t>(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元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/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股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4F53E969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法定盈餘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公積轉增資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配股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(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元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/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股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612E4FED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資本公積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轉增資配股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  <w:t>(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元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/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股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C5C5C5"/>
                        <w:noWrap/>
                        <w:vAlign w:val="center"/>
                        <w:hideMark/>
                      </w:tcPr>
                      <w:p w14:paraId="48BD131C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股東配股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總股數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(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股</w:t>
                        </w:r>
                        <w:r w:rsidRPr="000C0855"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892F51D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8D20824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C8F262C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855" w:rsidRPr="000C0855" w14:paraId="23EF3CDE" w14:textId="77777777" w:rsidTr="000C0855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38A777B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2167429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27337DE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932F37F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2B443A6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8942274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5FA8C3E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7E2E0AC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5D1D829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0E5E8725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B735FCB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42EE847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4691DD76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4E9C079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7689BC2B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D04B223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5832AD93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2B39B778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04052FB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1EBC3F9A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6E0B74F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5E52CA9" w14:textId="77777777" w:rsidR="000C0855" w:rsidRPr="000C0855" w:rsidRDefault="000C0855" w:rsidP="000C0855">
                        <w:pPr>
                          <w:widowControl/>
                          <w:spacing w:line="450" w:lineRule="atLeast"/>
                          <w:jc w:val="center"/>
                          <w:rPr>
                            <w:rFonts w:ascii="Arial" w:eastAsia="新細明體" w:hAnsi="Arial" w:cs="Arial"/>
                            <w:b/>
                            <w:bCs/>
                            <w:color w:val="FFFFFF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0C0855" w:rsidRPr="000C0855" w14:paraId="3CB5EB68" w14:textId="77777777" w:rsidTr="000C0855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BFED296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center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股東會確認</w:t>
                        </w: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9E19856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center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109</w:t>
                        </w: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年</w:t>
                        </w: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br/>
                        </w: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年度</w:t>
                        </w: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0E9DFEE6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center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109/01/01~</w:t>
                        </w: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br/>
                          <w:t>109/12/31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E48875C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center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1 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F7DAB0B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center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110/04/07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3177793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center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110/06/21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26530D2F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center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2,846,747,999 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B2D8230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center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1,309,099,881 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BE85B87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center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4,217,778,450 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C0C400F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center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3,437,220,450 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1D023639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right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1.90000000 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8E6FA13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right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0.0 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5014B525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right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0.0 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5762B3A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right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780,558,000 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6165214A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right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0.0 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7FBB102F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right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0.0 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668E864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right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0.0 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41A80DFC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right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0 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672D453A" w14:textId="77777777" w:rsidR="000C0855" w:rsidRPr="000C0855" w:rsidRDefault="000C0855" w:rsidP="000C085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35" w:lineRule="atLeast"/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proofErr w:type="gramStart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第廿九條</w:t>
                        </w:r>
                        <w:proofErr w:type="gramEnd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 xml:space="preserve">    </w:t>
                        </w:r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：本公司年度如有獲利，應</w:t>
                        </w:r>
                        <w:proofErr w:type="gramStart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提撥</w:t>
                        </w:r>
                        <w:proofErr w:type="gramEnd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百分之一以上為員工酬勞，由董事會決議以股票或現金分派發放；本公司得以上開獲利數額，由薪酬委員會提送董事會決議，</w:t>
                        </w:r>
                        <w:proofErr w:type="gramStart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提撥</w:t>
                        </w:r>
                        <w:proofErr w:type="gramEnd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不高於百分之一為董事酬勞。員工酬勞及董事酬勞分派案應提股東會報告。</w:t>
                        </w:r>
                      </w:p>
                      <w:p w14:paraId="4EC5A340" w14:textId="77777777" w:rsidR="000C0855" w:rsidRPr="000C0855" w:rsidRDefault="000C0855" w:rsidP="000C085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35" w:lineRule="atLeast"/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但公司尚有累積虧損時，應預先保留彌補數額，再依前項比例</w:t>
                        </w:r>
                        <w:proofErr w:type="gramStart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提撥</w:t>
                        </w:r>
                        <w:proofErr w:type="gramEnd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員工酬勞及董事酬勞。</w:t>
                        </w:r>
                      </w:p>
                      <w:p w14:paraId="0F14BEA5" w14:textId="77777777" w:rsidR="000C0855" w:rsidRPr="000C0855" w:rsidRDefault="000C0855" w:rsidP="000C085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35" w:lineRule="atLeast"/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proofErr w:type="gramStart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第廿九條</w:t>
                        </w:r>
                        <w:proofErr w:type="gramEnd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之</w:t>
                        </w:r>
                        <w:proofErr w:type="gramStart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一</w:t>
                        </w:r>
                        <w:proofErr w:type="gramEnd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：年度決算有盈餘時，</w:t>
                        </w:r>
                        <w:proofErr w:type="gramStart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除撥補</w:t>
                        </w:r>
                        <w:proofErr w:type="gramEnd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歷年虧損及依法繳納稅捐外，應先提存百分之十為法定盈餘公積，次提存特別盈餘公積，再撥付股息，其餘依下列程序分配之。</w:t>
                        </w:r>
                      </w:p>
                      <w:p w14:paraId="29E2851A" w14:textId="77777777" w:rsidR="000C0855" w:rsidRPr="000C0855" w:rsidRDefault="000C0855" w:rsidP="000C085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35" w:lineRule="atLeast"/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一、股東紅利。</w:t>
                        </w:r>
                      </w:p>
                      <w:p w14:paraId="72190305" w14:textId="77777777" w:rsidR="000C0855" w:rsidRPr="000C0855" w:rsidRDefault="000C0855" w:rsidP="000C085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35" w:lineRule="atLeast"/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二、保留盈餘。</w:t>
                        </w:r>
                      </w:p>
                      <w:p w14:paraId="4495C915" w14:textId="77777777" w:rsidR="000C0855" w:rsidRPr="000C0855" w:rsidRDefault="000C0855" w:rsidP="000C085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35" w:lineRule="atLeast"/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前項分配比例，由董事會決議後，提請股東會承認之。</w:t>
                        </w:r>
                      </w:p>
                      <w:p w14:paraId="4150049E" w14:textId="77777777" w:rsidR="000C0855" w:rsidRPr="000C0855" w:rsidRDefault="000C0855" w:rsidP="000C0855">
                        <w:pPr>
                          <w:widowControl/>
                          <w:tabs>
                            <w:tab w:val="left" w:pos="916"/>
                            <w:tab w:val="left" w:pos="1832"/>
                            <w:tab w:val="left" w:pos="2748"/>
                            <w:tab w:val="left" w:pos="3664"/>
                            <w:tab w:val="left" w:pos="4580"/>
                            <w:tab w:val="left" w:pos="5496"/>
                            <w:tab w:val="left" w:pos="6412"/>
                            <w:tab w:val="left" w:pos="7328"/>
                            <w:tab w:val="left" w:pos="8244"/>
                            <w:tab w:val="left" w:pos="9160"/>
                            <w:tab w:val="left" w:pos="10076"/>
                            <w:tab w:val="left" w:pos="10992"/>
                            <w:tab w:val="left" w:pos="11908"/>
                            <w:tab w:val="left" w:pos="12824"/>
                            <w:tab w:val="left" w:pos="13740"/>
                            <w:tab w:val="left" w:pos="14656"/>
                          </w:tabs>
                          <w:spacing w:line="435" w:lineRule="atLeast"/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proofErr w:type="gramStart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第廿九條</w:t>
                        </w:r>
                        <w:proofErr w:type="gramEnd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之二：本公司以當年度稅後淨利之五</w:t>
                        </w:r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○</w:t>
                        </w:r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％以上發放股息及紅利，其中現金占發放股利之五</w:t>
                        </w:r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○</w:t>
                        </w:r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％以上，以因應本公司主要產品行業環境已</w:t>
                        </w:r>
                        <w:proofErr w:type="gramStart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臻</w:t>
                        </w:r>
                        <w:proofErr w:type="gramEnd"/>
                        <w:r w:rsidRPr="000C0855">
                          <w:rPr>
                            <w:rFonts w:ascii="Arial" w:eastAsia="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成熟期，並顧及營運需求；惟得視業務或投資需要等相關因素之考量，而調整前述發放比例，以符合實際需要。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14:paraId="35CE0102" w14:textId="77777777" w:rsidR="000C0855" w:rsidRPr="000C0855" w:rsidRDefault="000C0855" w:rsidP="000C0855">
                        <w:pPr>
                          <w:widowControl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noWrap/>
                        <w:vAlign w:val="center"/>
                        <w:hideMark/>
                      </w:tcPr>
                      <w:p w14:paraId="3B097AE0" w14:textId="77777777" w:rsidR="000C0855" w:rsidRPr="000C0855" w:rsidRDefault="000C0855" w:rsidP="000C0855">
                        <w:pPr>
                          <w:widowControl/>
                          <w:spacing w:line="435" w:lineRule="atLeast"/>
                          <w:jc w:val="center"/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</w:pP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新台幣</w:t>
                        </w: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10.0000</w:t>
                        </w:r>
                        <w:r w:rsidRPr="000C0855">
                          <w:rPr>
                            <w:rFonts w:ascii="Arial" w:eastAsia="新細明體" w:hAnsi="Arial" w:cs="Arial"/>
                            <w:color w:val="333333"/>
                            <w:kern w:val="0"/>
                            <w:sz w:val="16"/>
                            <w:szCs w:val="16"/>
                          </w:rPr>
                          <w:t>元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BBB259" w14:textId="77777777" w:rsidR="000C0855" w:rsidRPr="000C0855" w:rsidRDefault="000C0855" w:rsidP="000C0855">
                        <w:pPr>
                          <w:widowControl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A14BDFD" w14:textId="77777777" w:rsidR="000C0855" w:rsidRPr="000C0855" w:rsidRDefault="000C0855" w:rsidP="000C0855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</w:pPr>
                  <w:proofErr w:type="gramStart"/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註</w:t>
                  </w:r>
                  <w:proofErr w:type="gramEnd"/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1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：「可分配盈餘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(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元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)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」係指「期初未分配盈餘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/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待彌補虧損」加計「當年度損益依公司法規定於完納稅捐、彌補虧損、依相關法令提列法定盈餘公積與特別盈餘公積、及其他調整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(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或迴轉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)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事項後」之數額。</w:t>
                  </w:r>
                </w:p>
                <w:p w14:paraId="78C95824" w14:textId="77777777" w:rsidR="000C0855" w:rsidRPr="000C0855" w:rsidRDefault="000C0855" w:rsidP="000C0855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</w:pPr>
                  <w:proofErr w:type="gramStart"/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註</w:t>
                  </w:r>
                  <w:proofErr w:type="gramEnd"/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2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：依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107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年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 xml:space="preserve">11 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月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1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日修正後之公司法規定，公司章程得訂明期中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(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包含第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1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季、第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2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季及第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3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季或前半年度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)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或年度（包含第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4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季或後半年度）以現金分派股利之部分，由董事會決議，無須經股東會通過確認；若部分盈餘分派以發行新股方式為之時（增資配股），仍須經股東會通過確認，本報表</w:t>
                  </w:r>
                  <w:proofErr w:type="gramStart"/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爰</w:t>
                  </w:r>
                  <w:proofErr w:type="gramEnd"/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依公司分派</w:t>
                  </w:r>
                  <w:proofErr w:type="gramStart"/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期間、派息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/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權別</w:t>
                  </w:r>
                  <w:proofErr w:type="gramEnd"/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、授權及申報情形等判斷決議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(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擬議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)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進度；股利所屬年度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107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年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(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含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)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以前，則以股東會日期或公司申報情形判斷決議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(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擬議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)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進度。</w:t>
                  </w:r>
                </w:p>
                <w:p w14:paraId="5F4756FC" w14:textId="77777777" w:rsidR="000C0855" w:rsidRPr="000C0855" w:rsidRDefault="000C0855" w:rsidP="000C0855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</w:pPr>
                  <w:proofErr w:type="gramStart"/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註</w:t>
                  </w:r>
                  <w:proofErr w:type="gramEnd"/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3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：股利所屬年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(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季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)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度為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108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年以前者，「法定盈餘公積發放之現金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(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元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/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股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)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」之金額包含「法定盈餘公積發放之現金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(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元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/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股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)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」及「資本公積發放之現金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(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元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/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股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)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」；「法定盈餘公積轉增資配股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(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元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/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股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)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」之金額包含「法定盈餘公積轉增資配股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(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元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/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股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)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」及「資本公積轉增資配股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(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元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/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股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)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」。</w:t>
                  </w:r>
                </w:p>
                <w:p w14:paraId="4EE0EFC4" w14:textId="77777777" w:rsidR="000C0855" w:rsidRPr="000C0855" w:rsidRDefault="000C0855" w:rsidP="000C0855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</w:pPr>
                  <w:proofErr w:type="gramStart"/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註</w:t>
                  </w:r>
                  <w:proofErr w:type="gramEnd"/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4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：因應主管機關函令，上市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(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櫃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)</w:t>
                  </w:r>
                  <w:proofErr w:type="gramStart"/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及興櫃公司</w:t>
                  </w:r>
                  <w:proofErr w:type="gramEnd"/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110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年原訂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5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月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24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日至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6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月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30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日股東會，延至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110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年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7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月至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8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月間召開，延期召開股東會日期彙總表，請至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110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年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7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月及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8</w:t>
                  </w:r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月「股東會及除權</w:t>
                  </w:r>
                  <w:proofErr w:type="gramStart"/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息</w:t>
                  </w:r>
                  <w:proofErr w:type="gramEnd"/>
                  <w:r w:rsidRPr="000C0855"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  <w:t>日曆」查詢。</w:t>
                  </w:r>
                </w:p>
                <w:p w14:paraId="265B1376" w14:textId="77777777" w:rsidR="000C0855" w:rsidRPr="000C0855" w:rsidRDefault="000C0855" w:rsidP="000C0855">
                  <w:pPr>
                    <w:widowControl/>
                    <w:spacing w:after="240"/>
                    <w:jc w:val="center"/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</w:pPr>
                </w:p>
                <w:p w14:paraId="0F0666DE" w14:textId="77777777" w:rsidR="000C0855" w:rsidRPr="000C0855" w:rsidRDefault="000C0855" w:rsidP="000C0855">
                  <w:pPr>
                    <w:widowControl/>
                    <w:rPr>
                      <w:rFonts w:ascii="Arial" w:eastAsia="新細明體" w:hAnsi="Arial" w:cs="Arial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14:paraId="6EF113E3" w14:textId="77777777" w:rsidR="000C0855" w:rsidRPr="000C0855" w:rsidRDefault="000C0855" w:rsidP="000C0855">
            <w:pPr>
              <w:widowControl/>
              <w:shd w:val="clear" w:color="auto" w:fill="FFFFFF"/>
              <w:rPr>
                <w:rFonts w:ascii="Arial" w:eastAsia="新細明體" w:hAnsi="Arial" w:cs="Arial"/>
                <w:kern w:val="0"/>
                <w:sz w:val="16"/>
                <w:szCs w:val="16"/>
              </w:rPr>
            </w:pPr>
          </w:p>
        </w:tc>
      </w:tr>
      <w:tr w:rsidR="000C0855" w:rsidRPr="000C0855" w14:paraId="443C427A" w14:textId="77777777" w:rsidTr="000C0855">
        <w:tblPrEx>
          <w:jc w:val="center"/>
        </w:tblPrEx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6840F14" w14:textId="77777777" w:rsidR="000C0855" w:rsidRPr="000C0855" w:rsidRDefault="000C0855" w:rsidP="000C0855">
            <w:pPr>
              <w:widowControl/>
              <w:spacing w:line="300" w:lineRule="atLeast"/>
              <w:jc w:val="center"/>
              <w:textAlignment w:val="center"/>
              <w:rPr>
                <w:rFonts w:ascii="Arial" w:eastAsia="新細明體" w:hAnsi="Arial" w:cs="Arial"/>
                <w:b/>
                <w:bCs/>
                <w:color w:val="FFFFFF"/>
                <w:spacing w:val="30"/>
                <w:kern w:val="0"/>
                <w:sz w:val="16"/>
                <w:szCs w:val="16"/>
              </w:rPr>
            </w:pPr>
            <w:hyperlink r:id="rId4" w:tgtFrame="_blank" w:history="1">
              <w:r w:rsidRPr="000C0855">
                <w:rPr>
                  <w:rFonts w:ascii="Arial" w:eastAsia="新細明體" w:hAnsi="Arial" w:cs="Arial"/>
                  <w:color w:val="FFFFFF"/>
                  <w:spacing w:val="30"/>
                  <w:kern w:val="0"/>
                  <w:sz w:val="16"/>
                  <w:szCs w:val="16"/>
                  <w:u w:val="single"/>
                </w:rPr>
                <w:t>電子投票</w:t>
              </w:r>
            </w:hyperlink>
            <w:proofErr w:type="gramStart"/>
            <w:r w:rsidRPr="000C0855">
              <w:rPr>
                <w:rFonts w:ascii="Arial" w:eastAsia="新細明體" w:hAnsi="Arial" w:cs="Arial"/>
                <w:b/>
                <w:bCs/>
                <w:color w:val="FFFFFF"/>
                <w:spacing w:val="30"/>
                <w:kern w:val="0"/>
                <w:sz w:val="16"/>
                <w:szCs w:val="16"/>
              </w:rPr>
              <w:t>│</w:t>
            </w:r>
            <w:proofErr w:type="gramEnd"/>
            <w:r w:rsidRPr="000C0855">
              <w:rPr>
                <w:rFonts w:ascii="Arial" w:eastAsia="新細明體" w:hAnsi="Arial" w:cs="Arial"/>
                <w:b/>
                <w:bCs/>
                <w:color w:val="FFFFFF"/>
                <w:spacing w:val="30"/>
                <w:kern w:val="0"/>
                <w:sz w:val="16"/>
                <w:szCs w:val="16"/>
              </w:rPr>
              <w:t> </w:t>
            </w:r>
            <w:hyperlink r:id="rId5" w:tgtFrame="_blank" w:history="1">
              <w:r w:rsidRPr="000C0855">
                <w:rPr>
                  <w:rFonts w:ascii="Arial" w:eastAsia="新細明體" w:hAnsi="Arial" w:cs="Arial"/>
                  <w:color w:val="FFFFFF"/>
                  <w:spacing w:val="30"/>
                  <w:kern w:val="0"/>
                  <w:sz w:val="16"/>
                  <w:szCs w:val="16"/>
                  <w:u w:val="single"/>
                </w:rPr>
                <w:t>不繼續公開發行</w:t>
              </w:r>
            </w:hyperlink>
            <w:r w:rsidRPr="000C0855">
              <w:rPr>
                <w:rFonts w:ascii="Arial" w:eastAsia="新細明體" w:hAnsi="Arial" w:cs="Arial"/>
                <w:b/>
                <w:bCs/>
                <w:color w:val="FFFFFF"/>
                <w:spacing w:val="30"/>
                <w:kern w:val="0"/>
                <w:sz w:val="16"/>
                <w:szCs w:val="16"/>
              </w:rPr>
              <w:t>│ </w:t>
            </w:r>
            <w:hyperlink r:id="rId6" w:tgtFrame="_blank" w:history="1">
              <w:r w:rsidRPr="000C0855">
                <w:rPr>
                  <w:rFonts w:ascii="Arial" w:eastAsia="新細明體" w:hAnsi="Arial" w:cs="Arial"/>
                  <w:color w:val="FFFFFF"/>
                  <w:spacing w:val="30"/>
                  <w:kern w:val="0"/>
                  <w:sz w:val="16"/>
                  <w:szCs w:val="16"/>
                  <w:u w:val="single"/>
                </w:rPr>
                <w:t>市場公告</w:t>
              </w:r>
            </w:hyperlink>
            <w:r w:rsidRPr="000C0855">
              <w:rPr>
                <w:rFonts w:ascii="Arial" w:eastAsia="新細明體" w:hAnsi="Arial" w:cs="Arial"/>
                <w:b/>
                <w:bCs/>
                <w:color w:val="FFFFFF"/>
                <w:spacing w:val="30"/>
                <w:kern w:val="0"/>
                <w:sz w:val="16"/>
                <w:szCs w:val="16"/>
              </w:rPr>
              <w:t>│ </w:t>
            </w:r>
            <w:hyperlink r:id="rId7" w:tgtFrame="_blank" w:history="1">
              <w:r w:rsidRPr="000C0855">
                <w:rPr>
                  <w:rFonts w:ascii="Arial" w:eastAsia="新細明體" w:hAnsi="Arial" w:cs="Arial"/>
                  <w:color w:val="FFFFFF"/>
                  <w:spacing w:val="30"/>
                  <w:kern w:val="0"/>
                  <w:sz w:val="16"/>
                  <w:szCs w:val="16"/>
                  <w:u w:val="single"/>
                </w:rPr>
                <w:t>公司治理評鑑</w:t>
              </w:r>
            </w:hyperlink>
            <w:r w:rsidRPr="000C0855">
              <w:rPr>
                <w:rFonts w:ascii="Arial" w:eastAsia="新細明體" w:hAnsi="Arial" w:cs="Arial"/>
                <w:b/>
                <w:bCs/>
                <w:color w:val="FFFFFF"/>
                <w:spacing w:val="30"/>
                <w:kern w:val="0"/>
                <w:sz w:val="16"/>
                <w:szCs w:val="16"/>
              </w:rPr>
              <w:t>│ </w:t>
            </w:r>
            <w:hyperlink r:id="rId8" w:history="1">
              <w:r w:rsidRPr="000C0855">
                <w:rPr>
                  <w:rFonts w:ascii="Arial" w:eastAsia="新細明體" w:hAnsi="Arial" w:cs="Arial"/>
                  <w:color w:val="FFFFFF"/>
                  <w:spacing w:val="30"/>
                  <w:kern w:val="0"/>
                  <w:sz w:val="16"/>
                  <w:szCs w:val="16"/>
                  <w:u w:val="single"/>
                </w:rPr>
                <w:t>網站地圖</w:t>
              </w:r>
            </w:hyperlink>
            <w:r w:rsidRPr="000C0855">
              <w:rPr>
                <w:rFonts w:ascii="Arial" w:eastAsia="新細明體" w:hAnsi="Arial" w:cs="Arial"/>
                <w:b/>
                <w:bCs/>
                <w:color w:val="FFFFFF"/>
                <w:spacing w:val="30"/>
                <w:kern w:val="0"/>
                <w:sz w:val="16"/>
                <w:szCs w:val="16"/>
              </w:rPr>
              <w:t>│ </w:t>
            </w:r>
            <w:hyperlink r:id="rId9" w:tgtFrame="_MOPS_handbook" w:history="1">
              <w:r w:rsidRPr="000C0855">
                <w:rPr>
                  <w:rFonts w:ascii="Arial" w:eastAsia="新細明體" w:hAnsi="Arial" w:cs="Arial"/>
                  <w:color w:val="FFFFFF"/>
                  <w:spacing w:val="30"/>
                  <w:kern w:val="0"/>
                  <w:sz w:val="16"/>
                  <w:szCs w:val="16"/>
                  <w:u w:val="single"/>
                </w:rPr>
                <w:t>網站使用說明</w:t>
              </w:r>
            </w:hyperlink>
          </w:p>
          <w:p w14:paraId="0343345B" w14:textId="77777777" w:rsidR="000C0855" w:rsidRPr="000C0855" w:rsidRDefault="000C0855" w:rsidP="000C0855">
            <w:pPr>
              <w:widowControl/>
              <w:spacing w:line="300" w:lineRule="atLeast"/>
              <w:jc w:val="center"/>
              <w:textAlignment w:val="center"/>
              <w:rPr>
                <w:rFonts w:ascii="Arial" w:eastAsia="新細明體" w:hAnsi="Arial" w:cs="Arial"/>
                <w:b/>
                <w:bCs/>
                <w:color w:val="FFFFFF"/>
                <w:spacing w:val="30"/>
                <w:kern w:val="0"/>
                <w:sz w:val="16"/>
                <w:szCs w:val="16"/>
              </w:rPr>
            </w:pPr>
            <w:hyperlink r:id="rId10" w:history="1">
              <w:r w:rsidRPr="000C0855">
                <w:rPr>
                  <w:rFonts w:ascii="Arial" w:eastAsia="新細明體" w:hAnsi="Arial" w:cs="Arial"/>
                  <w:color w:val="FFFFFF"/>
                  <w:spacing w:val="30"/>
                  <w:kern w:val="0"/>
                  <w:sz w:val="16"/>
                  <w:szCs w:val="16"/>
                  <w:u w:val="single"/>
                </w:rPr>
                <w:t>投資人服務中心</w:t>
              </w:r>
              <w:r w:rsidRPr="000C0855">
                <w:rPr>
                  <w:rFonts w:ascii="Arial" w:eastAsia="新細明體" w:hAnsi="Arial" w:cs="Arial"/>
                  <w:color w:val="FFFFFF"/>
                  <w:spacing w:val="30"/>
                  <w:kern w:val="0"/>
                  <w:sz w:val="16"/>
                  <w:szCs w:val="16"/>
                  <w:u w:val="single"/>
                </w:rPr>
                <w:t>(02)2792-8188</w:t>
              </w:r>
            </w:hyperlink>
            <w:r w:rsidRPr="000C0855">
              <w:rPr>
                <w:rFonts w:ascii="Arial" w:eastAsia="新細明體" w:hAnsi="Arial" w:cs="Arial"/>
                <w:b/>
                <w:bCs/>
                <w:color w:val="FFFFFF"/>
                <w:spacing w:val="30"/>
                <w:kern w:val="0"/>
                <w:sz w:val="16"/>
                <w:szCs w:val="16"/>
              </w:rPr>
              <w:t> </w:t>
            </w:r>
            <w:hyperlink r:id="rId11" w:tgtFrame="_blank" w:history="1">
              <w:r w:rsidRPr="000C0855">
                <w:rPr>
                  <w:rFonts w:ascii="Arial" w:eastAsia="新細明體" w:hAnsi="Arial" w:cs="Arial"/>
                  <w:color w:val="FFFFFF"/>
                  <w:spacing w:val="30"/>
                  <w:kern w:val="0"/>
                  <w:sz w:val="16"/>
                  <w:szCs w:val="16"/>
                  <w:u w:val="single"/>
                </w:rPr>
                <w:t>聯絡我們</w:t>
              </w:r>
            </w:hyperlink>
          </w:p>
        </w:tc>
      </w:tr>
    </w:tbl>
    <w:p w14:paraId="5F946856" w14:textId="77777777" w:rsidR="00C12041" w:rsidRPr="000C0855" w:rsidRDefault="000C0855">
      <w:pPr>
        <w:rPr>
          <w:sz w:val="16"/>
          <w:szCs w:val="16"/>
        </w:rPr>
      </w:pPr>
    </w:p>
    <w:sectPr w:rsidR="00C12041" w:rsidRPr="000C0855" w:rsidSect="000C0855">
      <w:pgSz w:w="25909" w:h="17291" w:orient="landscape" w:code="284"/>
      <w:pgMar w:top="851" w:right="819" w:bottom="567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55"/>
    <w:rsid w:val="000236EC"/>
    <w:rsid w:val="000C0855"/>
    <w:rsid w:val="003C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0B73A"/>
  <w15:chartTrackingRefBased/>
  <w15:docId w15:val="{86AD644E-34D6-414A-BFDC-D5D79F70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2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mops.twse.com.tw/mops/web/t146sb0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fi.org.tw/cga/cga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ps.twse.com.tw/server-java/t39sb01" TargetMode="External"/><Relationship Id="rId11" Type="http://schemas.openxmlformats.org/officeDocument/2006/relationships/hyperlink" Target="http://suggestionbox.twse.com.tw/" TargetMode="External"/><Relationship Id="rId5" Type="http://schemas.openxmlformats.org/officeDocument/2006/relationships/hyperlink" Target="http://www.sfb.gov.tw/Layout/main_ch/index.aspx?frame=5" TargetMode="External"/><Relationship Id="rId10" Type="http://schemas.openxmlformats.org/officeDocument/2006/relationships/hyperlink" Target="https://mops.twse.com.tw/mops/web/t05st09_2" TargetMode="External"/><Relationship Id="rId4" Type="http://schemas.openxmlformats.org/officeDocument/2006/relationships/hyperlink" Target="https://www.stockvote.com.tw/" TargetMode="External"/><Relationship Id="rId9" Type="http://schemas.openxmlformats.org/officeDocument/2006/relationships/hyperlink" Target="https://mops.twse.com.tw/nas/MOPS_HandBook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u73054</dc:creator>
  <cp:keywords/>
  <dc:description/>
  <cp:lastModifiedBy>u73054</cp:lastModifiedBy>
  <cp:revision>1</cp:revision>
  <dcterms:created xsi:type="dcterms:W3CDTF">2021-07-09T02:44:00Z</dcterms:created>
  <dcterms:modified xsi:type="dcterms:W3CDTF">2021-07-09T02:46:00Z</dcterms:modified>
</cp:coreProperties>
</file>