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16" w:type="dxa"/>
        <w:tblLayout w:type="fixed"/>
        <w:tblLook w:val="04A0" w:firstRow="1" w:lastRow="0" w:firstColumn="1" w:lastColumn="0" w:noHBand="0" w:noVBand="1"/>
      </w:tblPr>
      <w:tblGrid>
        <w:gridCol w:w="1668"/>
        <w:gridCol w:w="377"/>
        <w:gridCol w:w="6571"/>
      </w:tblGrid>
      <w:tr w:rsidR="00667471" w:rsidRPr="00196907" w14:paraId="57A82F00" w14:textId="77777777" w:rsidTr="001113E5">
        <w:trPr>
          <w:trHeight w:val="654"/>
        </w:trPr>
        <w:tc>
          <w:tcPr>
            <w:tcW w:w="1668" w:type="dxa"/>
            <w:shd w:val="clear" w:color="auto" w:fill="auto"/>
          </w:tcPr>
          <w:p w14:paraId="395F6932" w14:textId="77777777" w:rsidR="00667471" w:rsidRPr="00196907" w:rsidRDefault="00667471" w:rsidP="001113E5">
            <w:pPr>
              <w:ind w:left="1560" w:hanging="1560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第廿九條</w:t>
            </w:r>
            <w:proofErr w:type="gramEnd"/>
          </w:p>
        </w:tc>
        <w:tc>
          <w:tcPr>
            <w:tcW w:w="377" w:type="dxa"/>
            <w:shd w:val="clear" w:color="auto" w:fill="auto"/>
          </w:tcPr>
          <w:p w14:paraId="1C5376DD" w14:textId="77777777" w:rsidR="00667471" w:rsidRPr="00196907" w:rsidRDefault="00667471" w:rsidP="001113E5">
            <w:pPr>
              <w:ind w:left="1560" w:hanging="1560"/>
              <w:jc w:val="center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6571" w:type="dxa"/>
            <w:shd w:val="clear" w:color="auto" w:fill="auto"/>
          </w:tcPr>
          <w:p w14:paraId="4903BA07" w14:textId="77777777" w:rsidR="00667471" w:rsidRPr="00196907" w:rsidRDefault="00667471" w:rsidP="001113E5">
            <w:pPr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本公司年度如有獲利，應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百分之一以上為員工酬勞，由董事會決議以股票或現金分派發放；本公司得以上開獲利數額，由薪酬委員會提送董事會決議，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不高於百分之一     為董事酬勞。員工酬勞及董事酬勞分派案應提股東會報告。</w:t>
            </w:r>
          </w:p>
          <w:p w14:paraId="2F046BCC" w14:textId="77777777" w:rsidR="00667471" w:rsidRPr="00196907" w:rsidRDefault="00667471" w:rsidP="001113E5">
            <w:pPr>
              <w:rPr>
                <w:rFonts w:ascii="標楷體" w:eastAsia="標楷體" w:hAnsi="標楷體"/>
                <w:color w:val="000000"/>
                <w:spacing w:val="2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但公司尚有累積虧損時，應預先保留彌補數額，再依前項比例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提撥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員工酬勞及董事酬勞。</w:t>
            </w:r>
          </w:p>
        </w:tc>
      </w:tr>
      <w:tr w:rsidR="00667471" w:rsidRPr="00196907" w14:paraId="00885C07" w14:textId="77777777" w:rsidTr="001113E5">
        <w:trPr>
          <w:trHeight w:val="1556"/>
        </w:trPr>
        <w:tc>
          <w:tcPr>
            <w:tcW w:w="1668" w:type="dxa"/>
            <w:shd w:val="clear" w:color="auto" w:fill="auto"/>
          </w:tcPr>
          <w:p w14:paraId="6A1FEE2F" w14:textId="77777777" w:rsidR="00667471" w:rsidRPr="00196907" w:rsidRDefault="00667471" w:rsidP="001113E5">
            <w:pPr>
              <w:ind w:left="1560" w:hanging="1560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第廿九條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之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</w:tc>
        <w:tc>
          <w:tcPr>
            <w:tcW w:w="377" w:type="dxa"/>
            <w:shd w:val="clear" w:color="auto" w:fill="auto"/>
          </w:tcPr>
          <w:p w14:paraId="66018373" w14:textId="77777777" w:rsidR="00667471" w:rsidRPr="00196907" w:rsidRDefault="00667471" w:rsidP="001113E5">
            <w:pPr>
              <w:ind w:left="1560" w:hanging="1560"/>
              <w:jc w:val="center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6571" w:type="dxa"/>
            <w:shd w:val="clear" w:color="auto" w:fill="auto"/>
          </w:tcPr>
          <w:p w14:paraId="631CAEB6" w14:textId="77777777" w:rsidR="00667471" w:rsidRPr="00196907" w:rsidRDefault="00667471" w:rsidP="001113E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年度決算有盈餘時，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除撥補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歷年虧損及依法繳納稅捐外，應先提存百分之十為法定盈餘公積，次提存特別盈餘公積，再撥付股息，其餘依下列程序分配之。</w:t>
            </w:r>
          </w:p>
          <w:p w14:paraId="5E677773" w14:textId="77777777" w:rsidR="00667471" w:rsidRPr="00196907" w:rsidRDefault="00667471" w:rsidP="001113E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一、股東紅利。</w:t>
            </w:r>
          </w:p>
          <w:p w14:paraId="425E4FDE" w14:textId="77777777" w:rsidR="00667471" w:rsidRPr="00196907" w:rsidRDefault="00667471" w:rsidP="001113E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二、保留盈餘。</w:t>
            </w:r>
          </w:p>
          <w:p w14:paraId="372AD05D" w14:textId="77777777" w:rsidR="00667471" w:rsidRPr="00196907" w:rsidRDefault="00667471" w:rsidP="001113E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前項分配比例，由董事會決議後，提請股東會承認之。</w:t>
            </w:r>
          </w:p>
        </w:tc>
      </w:tr>
      <w:tr w:rsidR="00667471" w:rsidRPr="00196907" w14:paraId="45890247" w14:textId="77777777" w:rsidTr="001113E5">
        <w:trPr>
          <w:trHeight w:val="699"/>
        </w:trPr>
        <w:tc>
          <w:tcPr>
            <w:tcW w:w="1668" w:type="dxa"/>
            <w:shd w:val="clear" w:color="auto" w:fill="auto"/>
          </w:tcPr>
          <w:p w14:paraId="0A3F1CA9" w14:textId="77777777" w:rsidR="00667471" w:rsidRPr="00196907" w:rsidRDefault="00667471" w:rsidP="001113E5">
            <w:pPr>
              <w:ind w:left="1561" w:hanging="1561"/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第廿九條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之二</w:t>
            </w:r>
          </w:p>
        </w:tc>
        <w:tc>
          <w:tcPr>
            <w:tcW w:w="377" w:type="dxa"/>
            <w:shd w:val="clear" w:color="auto" w:fill="auto"/>
          </w:tcPr>
          <w:p w14:paraId="323B4801" w14:textId="77777777" w:rsidR="00667471" w:rsidRPr="00196907" w:rsidRDefault="00667471" w:rsidP="001113E5">
            <w:pPr>
              <w:ind w:left="1561" w:hanging="1561"/>
              <w:jc w:val="center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：</w:t>
            </w:r>
          </w:p>
        </w:tc>
        <w:tc>
          <w:tcPr>
            <w:tcW w:w="6571" w:type="dxa"/>
            <w:shd w:val="clear" w:color="auto" w:fill="auto"/>
          </w:tcPr>
          <w:p w14:paraId="27460DB8" w14:textId="77777777" w:rsidR="00667471" w:rsidRPr="00196907" w:rsidRDefault="00667471" w:rsidP="001113E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6907">
              <w:rPr>
                <w:rFonts w:ascii="標楷體" w:eastAsia="標楷體" w:hAnsi="標楷體" w:hint="eastAsia"/>
                <w:color w:val="000000"/>
              </w:rPr>
              <w:t>本公司以當年度稅後淨利之五○％以上發放股息及紅利，其中現金占發放股利之五○％以上，以因應本公司主要產品行業環境已</w:t>
            </w:r>
            <w:proofErr w:type="gramStart"/>
            <w:r w:rsidRPr="00196907">
              <w:rPr>
                <w:rFonts w:ascii="標楷體" w:eastAsia="標楷體" w:hAnsi="標楷體" w:hint="eastAsia"/>
                <w:color w:val="000000"/>
              </w:rPr>
              <w:t>臻</w:t>
            </w:r>
            <w:proofErr w:type="gramEnd"/>
            <w:r w:rsidRPr="00196907">
              <w:rPr>
                <w:rFonts w:ascii="標楷體" w:eastAsia="標楷體" w:hAnsi="標楷體" w:hint="eastAsia"/>
                <w:color w:val="000000"/>
              </w:rPr>
              <w:t>成熟期，並顧及營運需求；惟得視業務或投資需要等相關因素之考量，而調整前述發放比例，以符合實際需要。</w:t>
            </w:r>
          </w:p>
        </w:tc>
      </w:tr>
    </w:tbl>
    <w:p w14:paraId="4D09F810" w14:textId="77777777" w:rsidR="00C12041" w:rsidRPr="00667471" w:rsidRDefault="00667471"/>
    <w:sectPr w:rsidR="00C12041" w:rsidRPr="006674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1"/>
    <w:rsid w:val="000236EC"/>
    <w:rsid w:val="003C6418"/>
    <w:rsid w:val="0066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10F1"/>
  <w15:chartTrackingRefBased/>
  <w15:docId w15:val="{FAE65DB2-CC67-41FB-A82E-1F381CD4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u73054</dc:creator>
  <cp:keywords/>
  <dc:description/>
  <cp:lastModifiedBy>u73054</cp:lastModifiedBy>
  <cp:revision>1</cp:revision>
  <dcterms:created xsi:type="dcterms:W3CDTF">2021-07-08T07:59:00Z</dcterms:created>
  <dcterms:modified xsi:type="dcterms:W3CDTF">2021-07-08T08:00:00Z</dcterms:modified>
</cp:coreProperties>
</file>